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718606b7d432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12534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FRA PAVLA VUČKOVIĆA, SINJ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2.021.823,89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2.104.668,56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1.818.567,94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2.208.363,99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103.695,43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205.355,83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62.798,76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205.355,83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62.798,76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2.099,88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166.494,19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7928,7</w:t>
            </w:r>
          </w:p>
        </w:tc>
      </w:tr>
    </w:tbl>
    <w:p>
      <w:pPr>
        <w:spacing w:before="0" w:after="0"/>
      </w:pPr>
    </w:p>
    <w:p>
      <w:r>
        <w:t xml:space="preserve">U 2025. godini su prihodi poslovanja ostvareni u iznosu od 2.104.668,56 eura, dok su rashodi poslovanja ostvareni u iznosu od 2.208.363,99 eura.</w:t>
      </w:r>
    </w:p>
    <w:p>
      <w:r>
        <w:t xml:space="preserve">Rashodi za nabavu nefinancijske imovine su u 2025. ostvareni u iznosu od 62.798,76 eura. Ostvaren je manjak prihoda i primitaka u iznosu od 166.494,19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2.021.823,89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2.104.668,56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</w:tbl>
    <w:p>
      <w:pPr>
        <w:spacing w:before="0" w:after="0"/>
      </w:pPr>
    </w:p>
    <w:p>
      <w:r>
        <w:t xml:space="preserve">U 2025. su prihodi poslovanja ostvareni u iznosu od 2.104.668,56 eura, odnosno 4,1% više nego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1.601.248,91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1.773.102,92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 ostvareni su u 2025. u iznosu od 1.773.102,92 eura, što je 10,7% više nego u 2024. To su sredstva iz državnog proračuna za bruto plaće, doprinose na plaće, naknade, novčana naknada za zapošljavanje osoba s invaliditetom, naknada prijevoza, bolovanja preko 42 dana, higijenske potrepštine za učenice, te financiranje troškova prehrane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73.650,34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27.309,58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37,1</w:t>
            </w:r>
          </w:p>
        </w:tc>
      </w:tr>
    </w:tbl>
    <w:p>
      <w:pPr>
        <w:spacing w:before="0" w:after="0"/>
      </w:pPr>
    </w:p>
    <w:p>
      <w:r>
        <w:t xml:space="preserve">Kapitalne pomoći proračunskim korisnicima iz proračuna koji im nije nadležan ostvareni su u 2025. u iznosu od 27.309,58 eura, a to su sredstva iz državnog proračuna za opremanje školskih knjižnica-Lektira, te nabava udžbenika za djecu od 1. do 8. razreda.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30.890,53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41.099,64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133,0</w:t>
            </w:r>
          </w:p>
        </w:tc>
      </w:tr>
    </w:tbl>
    <w:p>
      <w:pPr>
        <w:spacing w:before="0" w:after="0"/>
      </w:pPr>
    </w:p>
    <w:p>
      <w:r>
        <w:t xml:space="preserve">Tekući prijenosi između proračunskih korisnika istog proračuna ostvareni su u iznosu od 41.099,64 eura, što je 33% više nego u 2024, a odnose se na prijenose sredstava osnivača Splitsko-dalmatinske županije u svrhu financiranja projekta - UČIMO ZAJEDNO.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Ovi prihodi ostvareni su u istom iznosu kao i 2024. , a odnose se na pozitivne tečajne razlike (kamate).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14.156,39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323,7</w:t>
            </w:r>
          </w:p>
        </w:tc>
      </w:tr>
    </w:tbl>
    <w:p>
      <w:pPr>
        <w:spacing w:before="0" w:after="0"/>
      </w:pPr>
    </w:p>
    <w:p>
      <w:r>
        <w:t xml:space="preserve">Prihodi po posebnim propisima sastoje se od slijedećih vrsta prihoda. Prihodi od sufinanciranja za policu osiguranja učenika, prihodi za refundacije štete (razbijen tablet) i prihodi za produženi boravak, ostvareni su u iznosu od 14.156,39 eura, što je 223,7% više nego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8,2</w:t>
            </w:r>
          </w:p>
        </w:tc>
      </w:tr>
    </w:tbl>
    <w:p>
      <w:pPr>
        <w:spacing w:before="0" w:after="0"/>
      </w:pPr>
    </w:p>
    <w:p>
      <w:r>
        <w:t xml:space="preserve">Prihodi od iznajmljivanja imovine. U 2025. godini škola je prihodovala 90,00 eura od pruženih usluga, to se odnosi na najam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164.388,46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207.115,57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</w:t>
            </w:r>
          </w:p>
        </w:tc>
      </w:tr>
    </w:tbl>
    <w:p>
      <w:pPr>
        <w:spacing w:before="0" w:after="0"/>
      </w:pPr>
    </w:p>
    <w:p>
      <w:r>
        <w:t xml:space="preserve">U 2025. godini evidentirano je 207.115,57 eura prihoda iz nadležnog proračuna odnosno Županije za financiranje materijalnih i financijskih rashoda, prehranu djece-medni dan, prijevoz učenika, E-tehničar, natjecanja, manifestacije i ostalo, financiranje pomoćnika u nastavi (UČIMO ZAJEDNO) odnosno 26% više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123.692,48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39.794,41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32,2</w:t>
            </w:r>
          </w:p>
        </w:tc>
      </w:tr>
    </w:tbl>
    <w:p>
      <w:pPr>
        <w:spacing w:before="0" w:after="0"/>
      </w:pPr>
    </w:p>
    <w:p>
      <w:r>
        <w:t xml:space="preserve">U 2025. godini evidentirano je 39.794,41 eura prihoda iz nadležnog proračuna odnosno Županije za financiranje rashoda za nabavu opreme, knjižnične građe u školskoj knjižnici i za izradu idejnog arhitektonskog-urbanističkog rješenja nove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1.287.830,76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1.579.809,56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U 2025. godini evidentirano je 1.579.809,56 eura za plaće što je 22,7% više u odnosu na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195,3</w:t>
            </w:r>
          </w:p>
        </w:tc>
      </w:tr>
    </w:tbl>
    <w:p>
      <w:pPr>
        <w:spacing w:before="0" w:after="0"/>
      </w:pPr>
    </w:p>
    <w:p>
      <w:r>
        <w:t xml:space="preserve">U 2025. godini evidentirano je 1.223,81 eura za prekovremeni rad odnosno 95,3% više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71.580,87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79.323,83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</w:tbl>
    <w:p>
      <w:pPr>
        <w:spacing w:before="0" w:after="0"/>
      </w:pPr>
    </w:p>
    <w:p>
      <w:r>
        <w:t xml:space="preserve">U 2025. godini evidentirano je 79.323,83 eura naknada za materijalna prava (nagrade, darovi, otpremnine, Regres za godišnji odmor, Uskrsnice) odnosno 10,8% više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209.685,53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258.367,75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r>
        <w:t xml:space="preserve">U 2025. godini evidentirano je 258.367,75 eura za doprinose za obvezno zdravstveno osiguranje, što je 23,2% više u odnosu na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33.401,02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33.753,32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101,1</w:t>
            </w:r>
          </w:p>
        </w:tc>
      </w:tr>
    </w:tbl>
    <w:p>
      <w:pPr>
        <w:spacing w:before="0" w:after="0"/>
      </w:pPr>
    </w:p>
    <w:p>
      <w:r>
        <w:t xml:space="preserve">U 2025. godini evidentirano je 33.753,32 eura naknada troškova zaposlenima što je 1,1% više u odnosu na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138.142,94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154.553,46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U 2025. godini evidentirano je 154.553,46 eura za rashode za materijal i energiju što je 11,9% više nego 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65.365,55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88.108,54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134,8</w:t>
            </w:r>
          </w:p>
        </w:tc>
      </w:tr>
    </w:tbl>
    <w:p>
      <w:pPr>
        <w:spacing w:before="0" w:after="0"/>
      </w:pPr>
    </w:p>
    <w:p>
      <w:r>
        <w:t xml:space="preserve">U 2025. godini evidentirano je 88.108,54 eura rashoda za usluge, odnosno 34,8% više nego 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10.101,23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11.244,20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</w:t>
            </w:r>
          </w:p>
        </w:tc>
      </w:tr>
    </w:tbl>
    <w:p>
      <w:pPr>
        <w:spacing w:before="0" w:after="0"/>
      </w:pPr>
    </w:p>
    <w:p>
      <w:r>
        <w:t xml:space="preserve">Ostvareni su u iznosu 11.244,20 eura, odnosno 11,3% više nego 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102,7</w:t>
            </w:r>
          </w:p>
        </w:tc>
      </w:tr>
    </w:tbl>
    <w:p>
      <w:pPr>
        <w:spacing w:before="0" w:after="0"/>
      </w:pPr>
    </w:p>
    <w:p>
      <w:r>
        <w:t xml:space="preserve">Ostvareni su u iznosu 776,95 eura, odnosno 2,7% više nego 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242,9</w:t>
            </w:r>
          </w:p>
        </w:tc>
      </w:tr>
    </w:tbl>
    <w:p>
      <w:pPr>
        <w:spacing w:before="0" w:after="0"/>
      </w:pPr>
    </w:p>
    <w:p>
      <w:r>
        <w:t xml:space="preserve">Ostvarene su u iznosu 149,60 eura, što je 142,9% više nego u 2024., a to je individualni prijevoz roditelja-pratitelja.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</w:t>
            </w:r>
          </w:p>
        </w:tc>
      </w:tr>
    </w:tbl>
    <w:p>
      <w:pPr>
        <w:spacing w:before="0" w:after="0"/>
      </w:pPr>
    </w:p>
    <w:p>
      <w:r>
        <w:t xml:space="preserve">Ostvarene su u iznosu 881,97 eura, higijenske potrepštine za učenice.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32.649,16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62.798,76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192,3</w:t>
            </w:r>
          </w:p>
        </w:tc>
      </w:tr>
    </w:tbl>
    <w:p>
      <w:pPr>
        <w:spacing w:before="0" w:after="0"/>
      </w:pPr>
    </w:p>
    <w:p>
      <w:r>
        <w:t xml:space="preserve">U 2025. godini evidentirano je 62.798,76 eura rashoda za nabavu proizvedene dugotrajne imovine što je 92,3% više u odnosu na 2024. godinu. Iznos je evidentiran na kontu Poslovni objekti u iznosu 31.250,00 eura, kontu Postrojenja i oprema 2.070,00 eura i kontu Knjige u iznosu 29.478,76 eura.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0211 do 0214 - 02921)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138.759,29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133.815,30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96,4</w:t>
            </w:r>
          </w:p>
        </w:tc>
      </w:tr>
    </w:tbl>
    <w:p>
      <w:pPr>
        <w:spacing w:before="0" w:after="0"/>
      </w:pPr>
    </w:p>
    <w:p>
      <w:r>
        <w:t xml:space="preserve">Uspoređujući stanje na početku i na kraju 2025. godine dolazimo do zaključka da je došlo do smanjenja vrijednosti građevinskih objekata za 3,6% zbog ispravka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68.243,88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43.117,75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63,2</w:t>
            </w:r>
          </w:p>
        </w:tc>
      </w:tr>
    </w:tbl>
    <w:p>
      <w:pPr>
        <w:spacing w:before="0" w:after="0"/>
      </w:pPr>
    </w:p>
    <w:p>
      <w:r>
        <w:t xml:space="preserve">Usporedbom sadašnje vrijednosti postrojenja i opreme dolazimo do stvarnog podatka koji ukazuje da je sadašnja vrijednost postrojenja i opreme na kraju 2025. manja za 36,8% zbog ispravka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0241 do 0244 - 02924)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68.997,01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72.249,44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r>
        <w:t xml:space="preserve">Uspoređujući stanje na početku i na kraju 2025. godine dolazimo do zaključka da je došlo do povećanja vrijednosti knjiga, umjetničkih djela i ostalih izložbenih vrijednosti za 4,7%.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119.918,04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124.117,28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r>
        <w:t xml:space="preserve">Uspoređujući stanje na početku i na kraju 2025. godine dolazimo do zaključka da je došlo do povećanja vrijednosti sitnog inventara za 3,5%.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Dugotrajna nefinancijska imovina u pripremi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172.706,67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203.956,67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Na kontu dugotrajne nefinancijske imovine u pripremi evidentirani su svi troškovi povezani s dovođenjem te imovine u stanje za namjeravanu upotrebu i koji će ući u trošak nabave te imovine kada se ona prenese na dugotrajnu nematerijalnu imovinu u upotrebi.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14.916,27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20.779,63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139,3</w:t>
            </w:r>
          </w:p>
        </w:tc>
      </w:tr>
    </w:tbl>
    <w:p>
      <w:pPr>
        <w:spacing w:before="0" w:after="0"/>
      </w:pPr>
    </w:p>
    <w:p>
      <w:r>
        <w:t xml:space="preserve">Novac u banci i blagajni obuhvaća novčana sredstva na računu kod poslovne banke (ZABA).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154,7</w:t>
            </w:r>
          </w:p>
        </w:tc>
      </w:tr>
    </w:tbl>
    <w:p>
      <w:pPr>
        <w:spacing w:before="0" w:after="0"/>
      </w:pPr>
    </w:p>
    <w:p>
      <w:r>
        <w:t xml:space="preserve">Ostala potraživanja na dan 31. prosinca 2025. evidentirana su u iznosu od 1.230,91 eura, što je 54,7% više u odnosu na stanje 1. siječnja 2025. godine, a to su bolovanja na teret HZZO-a i potraživanja za trošak električne energije za mjesec prosinac zbog zajedničkog mjerila.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166.020,76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Potraživanja za pomoći proračunskim korisnicima po izdanim računima za prehranu učenika (Grad Sinj), obračunata potraživanja za plaće, za putne troškove za prosinac 2025.g., naknade, individualni prijevoz roditelja-pratitelja, prehrana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330,6</w:t>
            </w:r>
          </w:p>
        </w:tc>
      </w:tr>
    </w:tbl>
    <w:p>
      <w:pPr>
        <w:spacing w:before="0" w:after="0"/>
      </w:pPr>
    </w:p>
    <w:p>
      <w:r>
        <w:t xml:space="preserve">Potraživanja po izdanim računima za usluge produženog boravka (roditelji) i štete za razbijeni tablet.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142.673,72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154.931,89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Iznos od 154.931,89 eura odnosi se na obveze za rashode poslovanja koje uključuju:</w:t>
      </w:r>
    </w:p>
    <w:p>
      <w:pPr>
        <w:pStyle w:val="ListParagraph"/>
        <w:numPr>
          <w:ilvl w:val="0"/>
          <w:numId w:val="2"/>
        </w:numPr>
      </w:pPr>
      <w:r>
        <w:t xml:space="preserve">plaća za 12/2025 - 141.940,01eura</w:t>
      </w:r>
    </w:p>
    <w:p>
      <w:pPr>
        <w:pStyle w:val="ListParagraph"/>
        <w:numPr>
          <w:ilvl w:val="0"/>
          <w:numId w:val="2"/>
        </w:numPr>
      </w:pPr>
      <w:r>
        <w:t xml:space="preserve">bolovanje na teret fonda za 12/2025 - 192,60 eura</w:t>
      </w:r>
    </w:p>
    <w:p>
      <w:pPr>
        <w:pStyle w:val="ListParagraph"/>
        <w:numPr>
          <w:ilvl w:val="0"/>
          <w:numId w:val="2"/>
        </w:numPr>
      </w:pPr>
      <w:r>
        <w:t xml:space="preserve">naknade (pomoći) za 12/2025 - 882,88 eura</w:t>
      </w:r>
    </w:p>
    <w:p>
      <w:pPr>
        <w:pStyle w:val="ListParagraph"/>
        <w:numPr>
          <w:ilvl w:val="0"/>
          <w:numId w:val="2"/>
        </w:numPr>
      </w:pPr>
      <w:r>
        <w:t xml:space="preserve">plaća za 12/2025(PUN) - 8.802,18 eura</w:t>
      </w:r>
    </w:p>
    <w:p>
      <w:pPr>
        <w:pStyle w:val="ListParagraph"/>
        <w:numPr>
          <w:ilvl w:val="0"/>
          <w:numId w:val="2"/>
        </w:numPr>
      </w:pPr>
      <w:r>
        <w:t xml:space="preserve">Božićnica(PUN) - 300,00 eura</w:t>
      </w:r>
    </w:p>
    <w:p>
      <w:pPr>
        <w:pStyle w:val="ListParagraph"/>
        <w:numPr>
          <w:ilvl w:val="0"/>
          <w:numId w:val="2"/>
        </w:numPr>
      </w:pPr>
      <w:r>
        <w:t xml:space="preserve">plaća za (PB) - 2.814,22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21.906,01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47.828,46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218,3</w:t>
            </w:r>
          </w:p>
        </w:tc>
      </w:tr>
    </w:tbl>
    <w:p>
      <w:pPr>
        <w:spacing w:before="0" w:after="0"/>
      </w:pPr>
    </w:p>
    <w:p>
      <w:r>
        <w:t xml:space="preserve">Iznos od 47.828,46 eura odnosi se na obveze za materijalne rashode koje uključuju:</w:t>
      </w:r>
    </w:p>
    <w:p>
      <w:pPr>
        <w:pStyle w:val="ListParagraph"/>
        <w:numPr>
          <w:ilvl w:val="0"/>
          <w:numId w:val="2"/>
        </w:numPr>
      </w:pPr>
      <w:r>
        <w:t xml:space="preserve">dospjeli računi - 19.180,16 eura</w:t>
      </w:r>
    </w:p>
    <w:p>
      <w:pPr>
        <w:pStyle w:val="ListParagraph"/>
        <w:numPr>
          <w:ilvl w:val="0"/>
          <w:numId w:val="2"/>
        </w:numPr>
      </w:pPr>
      <w:r>
        <w:t xml:space="preserve">nedospjeli računi - 25.848,39 eura</w:t>
      </w:r>
    </w:p>
    <w:p>
      <w:pPr>
        <w:pStyle w:val="ListParagraph"/>
        <w:numPr>
          <w:ilvl w:val="0"/>
          <w:numId w:val="2"/>
        </w:numPr>
      </w:pPr>
      <w:r>
        <w:t xml:space="preserve">službena putovanja - 176,50 eura</w:t>
      </w:r>
    </w:p>
    <w:p>
      <w:pPr>
        <w:pStyle w:val="ListParagraph"/>
        <w:numPr>
          <w:ilvl w:val="0"/>
          <w:numId w:val="2"/>
        </w:numPr>
      </w:pPr>
      <w:r>
        <w:t xml:space="preserve">naknade za prijevoz - 2.623,41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financijske rashode (šifre 2341 do 2343)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69,2</w:t>
            </w:r>
          </w:p>
        </w:tc>
      </w:tr>
    </w:tbl>
    <w:p>
      <w:pPr>
        <w:spacing w:before="0" w:after="0"/>
      </w:pPr>
    </w:p>
    <w:p>
      <w:r>
        <w:t xml:space="preserve">Iznos od 62,03 eura odnosi se na obveze za financijske rashode koji uključuju:</w:t>
      </w:r>
    </w:p>
    <w:p>
      <w:pPr>
        <w:pStyle w:val="ListParagraph"/>
        <w:numPr>
          <w:ilvl w:val="0"/>
          <w:numId w:val="2"/>
        </w:numPr>
      </w:pPr>
      <w:r>
        <w:t xml:space="preserve">dospjeli računi - 0,43 eura</w:t>
      </w:r>
    </w:p>
    <w:p>
      <w:pPr>
        <w:pStyle w:val="ListParagraph"/>
        <w:numPr>
          <w:ilvl w:val="0"/>
          <w:numId w:val="2"/>
        </w:numPr>
      </w:pPr>
      <w:r>
        <w:t xml:space="preserve">nedospjeli računi 61,60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naknade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27,8</w:t>
            </w:r>
          </w:p>
        </w:tc>
      </w:tr>
    </w:tbl>
    <w:p>
      <w:pPr>
        <w:spacing w:before="0" w:after="0"/>
      </w:pPr>
    </w:p>
    <w:p>
      <w:r>
        <w:t xml:space="preserve">Iznos od 13,20 eura odnosi se na obveze za individualni prijevoz roditelja-pratitelja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4.788,99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176,1</w:t>
            </w:r>
          </w:p>
        </w:tc>
      </w:tr>
    </w:tbl>
    <w:p>
      <w:pPr>
        <w:spacing w:before="0" w:after="0"/>
      </w:pPr>
    </w:p>
    <w:p>
      <w:r>
        <w:t xml:space="preserve">Na obvezama za nabavu nefinancijske imovine evidentiran je ukupan iznos od 4.788,99 eura, odnosno dospjeli računi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-12.637,03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-185.763,35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1470,0</w:t>
            </w:r>
          </w:p>
        </w:tc>
      </w:tr>
    </w:tbl>
    <w:p>
      <w:pPr>
        <w:spacing w:before="0" w:after="0"/>
      </w:pPr>
    </w:p>
    <w:p>
      <w:r>
        <w:t xml:space="preserve">Iznos od 185.763,35 eura je manjak prihoda poslovanja. Prihodi se priznaju prema novčanom načelu. Financijski rezultat u obrascu BIL dobiven je nakon korekcije rezultata između manjka prihoda i manjka prihoda od nefinancijske imovine za ostvarene kapitalne pomoći utrošene za nabavu nefinancijske imovine tijekom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22.759,36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15.759,36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69,2</w:t>
            </w:r>
          </w:p>
        </w:tc>
      </w:tr>
    </w:tbl>
    <w:p>
      <w:pPr>
        <w:spacing w:before="0" w:after="0"/>
      </w:pPr>
    </w:p>
    <w:p>
      <w:r>
        <w:t xml:space="preserve">Na dan 31. prosinca 2025. na Izvanbilančnim zapisima evidentiran je iznos od 15.759,36 eura, a odnosi se na izvanbilančnu evidenciju:</w:t>
      </w:r>
    </w:p>
    <w:p>
      <w:pPr>
        <w:pStyle w:val="ListParagraph"/>
        <w:numPr>
          <w:ilvl w:val="0"/>
          <w:numId w:val="3"/>
        </w:numPr>
      </w:pPr>
      <w:r>
        <w:rPr>
          <w:b/>
        </w:rPr>
        <w:t xml:space="preserve">Tuđa imovina dobivena na korištenje</w:t>
      </w:r>
    </w:p>
    <w:p>
      <w:pPr>
        <w:pStyle w:val="ListParagraph"/>
        <w:numPr>
          <w:ilvl w:val="0"/>
          <w:numId w:val="2"/>
        </w:numPr>
      </w:pPr>
      <w:r>
        <w:t xml:space="preserve">Najam printera u boji - 497,71 eura</w:t>
      </w:r>
    </w:p>
    <w:p>
      <w:pPr>
        <w:pStyle w:val="ListParagraph"/>
        <w:numPr>
          <w:ilvl w:val="0"/>
          <w:numId w:val="2"/>
        </w:numPr>
      </w:pPr>
      <w:r>
        <w:t xml:space="preserve">Mali set za uvod u elektroniku (1 komad) - 73,75 eura</w:t>
      </w:r>
    </w:p>
    <w:p>
      <w:pPr>
        <w:pStyle w:val="ListParagraph"/>
        <w:numPr>
          <w:ilvl w:val="0"/>
          <w:numId w:val="2"/>
        </w:numPr>
      </w:pPr>
      <w:r>
        <w:t xml:space="preserve">Veliki set za uvod u elektroniku i programiranje (1 komad) - 252,50 eura</w:t>
      </w:r>
    </w:p>
    <w:p>
      <w:r>
        <w:t xml:space="preserve">      </w:t>
      </w:r>
      <w:r>
        <w:rPr>
          <w:b/>
        </w:rPr>
        <w:t xml:space="preserve">2. Potencijalne obveze po osnovi sudskih sporova u tijeku</w:t>
      </w:r>
    </w:p>
    <w:p>
      <w:r>
        <w:rPr>
          <w:b/>
          <w:i/>
        </w:rPr>
        <w:t xml:space="preserve">Popis sudskih sporova u tijeku - proračunski korisnik tuženik</w:t>
      </w:r>
    </w:p>
    <w:p>
      <w:r>
        <w:rPr>
          <w:b/>
        </w:rPr>
        <w:t xml:space="preserve">         Ovrhovoditelj - tužitelj  </w:t>
      </w:r>
      <w:r>
        <w:t xml:space="preserve">            S</w:t>
      </w:r>
      <w:r>
        <w:rPr>
          <w:b/>
        </w:rPr>
        <w:t xml:space="preserve">ažeti opis prirode spora             Iznos glavnice Početak sudskog spora</w:t>
      </w:r>
    </w:p>
    <w:p>
      <w:r>
        <w:t xml:space="preserve">     1.    (D.o.o.o za građenje i usluge)    Novčano potraživanje za radove   13.438,74            2/2022.</w:t>
      </w:r>
    </w:p>
    <w:p>
      <w:r>
        <w:t xml:space="preserve">                                                               koji nisu ugovoreni Ugovorom</w:t>
      </w:r>
    </w:p>
    <w:p>
      <w:r>
        <w:t xml:space="preserve">                                                               o građenju.</w:t>
      </w:r>
    </w:p>
    <w:p>
      <w:r>
        <w:t xml:space="preserve">     2.  Fizička osoba - bivši                     Radni spor radi isplate                    1.320,00          10/2023.</w:t>
      </w:r>
    </w:p>
    <w:p>
      <w:r>
        <w:t xml:space="preserve">          djelatnik škole</w:t>
      </w:r>
    </w:p>
    <w:p>
      <w:r>
        <w:t xml:space="preserve"> </w:t>
      </w:r>
    </w:p>
    <w:p>
      <w:r>
        <w:rPr>
          <w:b/>
          <w:i/>
        </w:rPr>
        <w:t xml:space="preserve">     Popis sudskih sporova u tijeku - proračunski korisnik tužitelj</w:t>
      </w:r>
    </w:p>
    <w:p>
      <w:r>
        <w:rPr>
          <w:b/>
          <w:i/>
        </w:rPr>
        <w:t xml:space="preserve">       Ovršenik - tuženik            Sažeti opis prirode spora         Iznos glavnice Početak sudskog spora</w:t>
      </w:r>
    </w:p>
    <w:p>
      <w:pPr>
        <w:pStyle w:val="ListParagraph"/>
        <w:numPr>
          <w:ilvl w:val="0"/>
          <w:numId w:val="4"/>
        </w:numPr>
      </w:pPr>
      <w:r>
        <w:t xml:space="preserve">Fizička osoba - roditelj    Naknada štete za razbijeni tablet    88,33               12/2024.</w:t>
      </w:r>
    </w:p>
    <w:p>
      <w:pPr>
        <w:pStyle w:val="ListParagraph"/>
        <w:numPr>
          <w:ilvl w:val="0"/>
          <w:numId w:val="4"/>
        </w:numPr>
      </w:pPr>
      <w:r>
        <w:t xml:space="preserve">Fizička osoba - roditelj    Naknada štete za razbijeni table     88,33               12/2024.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2.023.923,77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2.271.162,75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</w:tbl>
    <w:p>
      <w:pPr>
        <w:spacing w:before="0" w:after="0"/>
      </w:pPr>
    </w:p>
    <w:p>
      <w:r>
        <w:t xml:space="preserve">U Obrascu RAS-funkcijski iskazani su rashodi razreda 3 i 4 prema funkcijama za koje su utrošeni.</w:t>
      </w:r>
    </w:p>
    <w:p>
      <w:r>
        <w:t xml:space="preserve">Funkcijska klasifikacija sadrži rashode razvrstane prema njihovoj namjeni. Prema funkcijskoj klasifikaciji razvrstavaju se rashodi poslovanja razreda 3 i rashodi za nabavu nefinancijske imovine razreda 4, a izdaci za financijsku imovinu i otplatu zajmova ne uključuju se u ovaj obrazac.</w:t>
      </w:r>
    </w:p>
    <w:p>
      <w:r>
        <w:t xml:space="preserve">Iznosi navedeni u Obrascu RAS-funkcijski odgovaraju ukupno iskazanim rashodima u Obrascu PR-RAS - Rashodi poslovanja i Rashodi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58.877,81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obrazac P-VRIO kao smanjenje proizvedene dugotrajne imovine unesen iznos provedenog ispravka vrijednosti. Evidentirane su promjene u vrijednosti i obujmu imovine, prenesena proizvedena dugotrajna imovina proračunskom korisniku od strane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Obrascu P-VRIO evidentirane su promjene u vrijednosti i obujmu imovine, darovana dugotrajna imovina proračunskom korisniku.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167.435,84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167.435,84 eura je stanje obveza na  dan 1. siječnja 2025, odnose se na nepodmirene obveze za plaću za 12/2024., materijalne i financijske rashode u iznosu od 164.669,33 eura, obveze za naknade građanima i kućanstvima u iznosu 47,52 eura i obveze za nabavu nefinancijske imovine od 2.718,99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207.773,89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207.773,89 eura je stanje obveza na kraju izvještajnog razdoblja, odnosi se na stanje dospjelih obveza na kraju izvještajnog razdoblja, te stanje nedospjelih obveza na kraju izvještajnog razdoblja. </w:t>
      </w:r>
    </w:p>
    <w:p>
      <w:pPr>
        <w:pStyle w:val="ListParagraph"/>
        <w:numPr>
          <w:ilvl w:val="0"/>
          <w:numId w:val="2"/>
        </w:numPr>
      </w:pPr>
      <w:r>
        <w:t xml:space="preserve">obveze za zaposlene odnosno plaća za prosinac 2025.g.                                                                                                                                            koja je isplaćena 09. siječnja 2025.g.  - 142.132,61 eura</w:t>
      </w:r>
    </w:p>
    <w:p>
      <w:pPr>
        <w:pStyle w:val="ListParagraph"/>
        <w:numPr>
          <w:ilvl w:val="0"/>
          <w:numId w:val="2"/>
        </w:numPr>
      </w:pPr>
      <w:r>
        <w:t xml:space="preserve">bolovanje fonda - 149,32 eura</w:t>
      </w:r>
    </w:p>
    <w:p>
      <w:pPr>
        <w:pStyle w:val="ListParagraph"/>
        <w:numPr>
          <w:ilvl w:val="0"/>
          <w:numId w:val="2"/>
        </w:numPr>
      </w:pPr>
      <w:r>
        <w:t xml:space="preserve">obveze za plaće - produženi boravak za prosinac 2025.g. - 2.814,22 eura</w:t>
      </w:r>
    </w:p>
    <w:p>
      <w:pPr>
        <w:pStyle w:val="ListParagraph"/>
        <w:numPr>
          <w:ilvl w:val="0"/>
          <w:numId w:val="2"/>
        </w:numPr>
      </w:pPr>
      <w:r>
        <w:t xml:space="preserve">pomoćnici u nastavi(UČIMO ZAJEDNO) za prosinac 2025.g. - 8.802,18 eura</w:t>
      </w:r>
    </w:p>
    <w:p>
      <w:pPr>
        <w:pStyle w:val="ListParagraph"/>
        <w:numPr>
          <w:ilvl w:val="0"/>
          <w:numId w:val="2"/>
        </w:numPr>
      </w:pPr>
      <w:r>
        <w:t xml:space="preserve">Božićnica (PUN) - 300,00 eura</w:t>
      </w:r>
    </w:p>
    <w:p>
      <w:pPr>
        <w:pStyle w:val="ListParagraph"/>
        <w:numPr>
          <w:ilvl w:val="0"/>
          <w:numId w:val="2"/>
        </w:numPr>
      </w:pPr>
      <w:r>
        <w:t xml:space="preserve">naknade za zaposlene - 882,88 eura</w:t>
      </w:r>
    </w:p>
    <w:p>
      <w:pPr>
        <w:pStyle w:val="ListParagraph"/>
        <w:numPr>
          <w:ilvl w:val="0"/>
          <w:numId w:val="2"/>
        </w:numPr>
      </w:pPr>
      <w:r>
        <w:t xml:space="preserve">prijevoz za zaposlene za prosinac 2025.g. - 1.946,65 eura</w:t>
      </w:r>
    </w:p>
    <w:p>
      <w:pPr>
        <w:pStyle w:val="ListParagraph"/>
        <w:numPr>
          <w:ilvl w:val="0"/>
          <w:numId w:val="2"/>
        </w:numPr>
      </w:pPr>
      <w:r>
        <w:t xml:space="preserve">prijevoz za pomoćnike u nastavi za prosinac 2025.g. - 628,34 eura</w:t>
      </w:r>
    </w:p>
    <w:p>
      <w:pPr>
        <w:pStyle w:val="ListParagraph"/>
        <w:numPr>
          <w:ilvl w:val="0"/>
          <w:numId w:val="2"/>
        </w:numPr>
      </w:pPr>
      <w:r>
        <w:t xml:space="preserve">prijevoz za produženi boravak za prosinac 2025.g. - 48,42 eura</w:t>
      </w:r>
    </w:p>
    <w:p>
      <w:pPr>
        <w:pStyle w:val="ListParagraph"/>
        <w:numPr>
          <w:ilvl w:val="0"/>
          <w:numId w:val="2"/>
        </w:numPr>
      </w:pPr>
      <w:r>
        <w:t xml:space="preserve">obveze za naknade građanima i kućanstvima za prosinac 2025.g. - 13,20 eura</w:t>
      </w:r>
    </w:p>
    <w:p>
      <w:pPr>
        <w:pStyle w:val="ListParagraph"/>
        <w:numPr>
          <w:ilvl w:val="0"/>
          <w:numId w:val="2"/>
        </w:numPr>
      </w:pPr>
      <w:r>
        <w:t xml:space="preserve">obveze za materijalne rashode - 45.205,05 eura</w:t>
      </w:r>
    </w:p>
    <w:p>
      <w:pPr>
        <w:pStyle w:val="ListParagraph"/>
        <w:numPr>
          <w:ilvl w:val="0"/>
          <w:numId w:val="2"/>
        </w:numPr>
      </w:pPr>
      <w:r>
        <w:t xml:space="preserve">obveze za financijske rashode - 62,03 eura</w:t>
      </w:r>
    </w:p>
    <w:p>
      <w:pPr>
        <w:pStyle w:val="ListParagraph"/>
        <w:numPr>
          <w:ilvl w:val="0"/>
          <w:numId w:val="2"/>
        </w:numPr>
      </w:pPr>
      <w:r>
        <w:t xml:space="preserve">obveze za nabavu nefinancijske imovine - 4.788,99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25.178,28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razdoblje iznose 25.178,26 eura. </w:t>
      </w:r>
    </w:p>
    <w:p>
      <w:pPr>
        <w:pStyle w:val="ListParagraph"/>
        <w:numPr>
          <w:ilvl w:val="0"/>
          <w:numId w:val="2"/>
        </w:numPr>
      </w:pPr>
      <w:r>
        <w:t xml:space="preserve">obveze za materijalne rashode - 19.356,64 eura</w:t>
      </w:r>
    </w:p>
    <w:p>
      <w:pPr>
        <w:pStyle w:val="ListParagraph"/>
        <w:numPr>
          <w:ilvl w:val="0"/>
          <w:numId w:val="2"/>
        </w:numPr>
      </w:pPr>
      <w:r>
        <w:t xml:space="preserve">obveze za financijske rashode - 0,43 eura</w:t>
      </w:r>
    </w:p>
    <w:p>
      <w:pPr>
        <w:pStyle w:val="ListParagraph"/>
        <w:numPr>
          <w:ilvl w:val="0"/>
          <w:numId w:val="2"/>
        </w:numPr>
      </w:pPr>
      <w:r>
        <w:t xml:space="preserve">obveze za zaposlene 882,88 eura</w:t>
      </w:r>
    </w:p>
    <w:p>
      <w:pPr>
        <w:pStyle w:val="ListParagraph"/>
        <w:numPr>
          <w:ilvl w:val="0"/>
          <w:numId w:val="2"/>
        </w:numPr>
      </w:pPr>
      <w:r>
        <w:t xml:space="preserve">bolovanje fonda za 11/2025 - 149,32 eura</w:t>
      </w:r>
    </w:p>
    <w:p>
      <w:pPr>
        <w:pStyle w:val="ListParagraph"/>
        <w:numPr>
          <w:ilvl w:val="0"/>
          <w:numId w:val="2"/>
        </w:numPr>
      </w:pPr>
      <w:r>
        <w:t xml:space="preserve">obveze za nabavu nefinancijske imovine - 4.788,99 eura od toga  </w:t>
      </w:r>
    </w:p>
    <w:p>
      <w:r>
        <w:rPr>
          <w:b/>
        </w:rPr>
        <w:t xml:space="preserve">2.718,99 eura s prekoračenjem plaćanja preko 360 dana - Škola je u mjesecu prosincu 2020. godine provela postupak jednostavne nabave za ovu investiciju, ugovorena cijena iznosi 15.327,66 eura (115.486,25 kn sa PDV-om). Izvođač radova započeo je s radovima i izvršio veliki dio radova. Škola je imenovala i nadzor za praćenje ove investicije. Pojavio se problem jer je Izvođač radova naknadno ispostavio dva računa, jedan na iznos od 9.504,31 eura (71.610,23 kn sa PDV-om) i drugi na iznos od 3.934,43 eura (29.643,94 kn sa PDV-om), za koje nije provedena natječajna dokumentacija, te su isti odbijeni od strane Škole. Škola je predložila Izvođaču radova prihvaćanje razmjernog dijela, a Izvođač je navedeno odbio. Primopredajni zapisnik nije potpisan i ostatak računa u iznosu 2.718,99 eura (20.786,25 kuna) i nadzor u iznosu 464,53 eura (3.500,00 kuna) nije plaćen.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sadrži podatke o ostvarenim prihodima i primicima, rashodima i izdacima.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15ff308c20488f" /><Relationship Type="http://schemas.openxmlformats.org/officeDocument/2006/relationships/numbering" Target="/word/numbering.xml" Id="R76c76e820ec84b49" /></Relationships>
</file>